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A6B" w:rsidRDefault="00000000">
      <w:pPr>
        <w:spacing w:line="276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Alaptámogatás</w:t>
      </w:r>
    </w:p>
    <w:p w:rsidR="00D47A6B" w:rsidRDefault="00000000">
      <w:pPr>
        <w:spacing w:before="0" w:after="360" w:line="276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Pályázati felhívás</w:t>
      </w:r>
      <w:r>
        <w:rPr>
          <w:rFonts w:ascii="Garamond" w:eastAsia="Garamond" w:hAnsi="Garamond" w:cs="Garamond"/>
          <w:b/>
          <w:color w:val="000000"/>
        </w:rPr>
        <w:br/>
        <w:t xml:space="preserve"> 2023/2024. tanév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 Budapesti Műszaki és Gazdaságtudományi Egyetem (a továbbiakban: Egyetem) Egyetemi Szociális Bizottsága (a továbbiakban: ESZB) pályázatot hirdet </w:t>
      </w:r>
      <w:r>
        <w:rPr>
          <w:rFonts w:ascii="Garamond" w:eastAsia="Garamond" w:hAnsi="Garamond" w:cs="Garamond"/>
          <w:sz w:val="22"/>
          <w:szCs w:val="22"/>
        </w:rPr>
        <w:t xml:space="preserve">a BME Térítési és Juttatási Szabályzat (a továbbiakban: TJSZ) 28. §-a alapján.  </w:t>
      </w:r>
      <w:r>
        <w:rPr>
          <w:rFonts w:ascii="Garamond" w:eastAsia="Garamond" w:hAnsi="Garamond" w:cs="Garamond"/>
          <w:sz w:val="22"/>
          <w:szCs w:val="22"/>
        </w:rPr>
        <w:br/>
      </w:r>
      <w:r>
        <w:rPr>
          <w:rFonts w:ascii="Garamond" w:eastAsia="Garamond" w:hAnsi="Garamond" w:cs="Garamond"/>
          <w:b/>
          <w:sz w:val="22"/>
          <w:szCs w:val="22"/>
        </w:rPr>
        <w:t>Jogosultak köre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 pályázaton részt vehet </w:t>
      </w:r>
      <w:r>
        <w:rPr>
          <w:rFonts w:ascii="Garamond" w:eastAsia="Garamond" w:hAnsi="Garamond" w:cs="Garamond"/>
          <w:color w:val="000000"/>
          <w:sz w:val="22"/>
          <w:szCs w:val="22"/>
        </w:rPr>
        <w:t>az Egyetem bármely aktív jogviszonnyal rendelkező, teljes idejű, államilag támogatott vagy állami ösztöndíjas hallgató, amennyiben eleget tesz a TJSZ 28. §-ában meghatározott feltételeknek.</w:t>
      </w:r>
    </w:p>
    <w:p w:rsidR="00D54619" w:rsidRDefault="00000000">
      <w:pPr>
        <w:spacing w:before="240" w:after="12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Elbírálás</w:t>
      </w:r>
      <w:r w:rsidR="00D54619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alapelve</w:t>
      </w:r>
      <w:r w:rsidR="00D54619">
        <w:rPr>
          <w:rFonts w:ascii="Garamond" w:eastAsia="Garamond" w:hAnsi="Garamond" w:cs="Garamond"/>
          <w:b/>
          <w:color w:val="000000"/>
          <w:sz w:val="22"/>
          <w:szCs w:val="22"/>
        </w:rPr>
        <w:t>i</w:t>
      </w:r>
    </w:p>
    <w:p w:rsidR="00D47A6B" w:rsidRPr="00D54619" w:rsidRDefault="00000000">
      <w:pPr>
        <w:spacing w:before="240" w:after="12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Az Alaptámogatásra vonatkozó szabályokat a TJSZ 28. §-a és a TJSZ 3. számú melléklete tartalmazza. További információk elérhetőek az </w:t>
      </w:r>
      <w:hyperlink r:id="rId8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ehk.bme.hu/eszb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és </w:t>
      </w:r>
      <w:hyperlink r:id="rId9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https://mueper.bme.hu/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oldalakon, valamint a Kari Hallgatói Képviseletek honlapjain. A benyújtandó igazolások listája részletesen elérhető az </w:t>
      </w:r>
      <w:hyperlink r:id="rId10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ehk.bme.hu/eszb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oldal „Pályázatok” fül „Dokumentumok</w:t>
      </w:r>
      <w:r>
        <w:rPr>
          <w:rFonts w:ascii="Garamond" w:eastAsia="Garamond" w:hAnsi="Garamond" w:cs="Garamond"/>
          <w:sz w:val="22"/>
          <w:szCs w:val="22"/>
        </w:rPr>
        <w:t xml:space="preserve">”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menüpontjában, és a </w:t>
      </w:r>
      <w:hyperlink r:id="rId11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https://mueper.bme.hu/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oldal „Dokumentumok” menüpontjában.</w:t>
      </w:r>
    </w:p>
    <w:p w:rsidR="00D47A6B" w:rsidRDefault="00000000">
      <w:pPr>
        <w:spacing w:before="240" w:after="12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 pályázás folyamata</w:t>
      </w:r>
    </w:p>
    <w:p w:rsidR="00D47A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Garamond" w:eastAsia="Garamond" w:hAnsi="Garamond" w:cs="Garamond"/>
          <w:color w:val="000000"/>
          <w:sz w:val="22"/>
          <w:szCs w:val="22"/>
        </w:rPr>
        <w:t>A pályázati adatlap kitöltése és leadása a Műegyetemi Egységes Pályázati és Elbírálási Rendszerben (</w:t>
      </w:r>
      <w:hyperlink r:id="rId12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https://mueper.bme.hu/</w:t>
        </w:r>
      </w:hyperlink>
      <w:r>
        <w:rPr>
          <w:rFonts w:ascii="Garamond" w:eastAsia="Garamond" w:hAnsi="Garamond" w:cs="Garamond"/>
          <w:color w:val="0000FF"/>
          <w:sz w:val="22"/>
          <w:szCs w:val="22"/>
          <w:u w:val="single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honlapon).</w:t>
      </w:r>
    </w:p>
    <w:p w:rsidR="00D47A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Garamond" w:eastAsia="Garamond" w:hAnsi="Garamond" w:cs="Garamond"/>
          <w:color w:val="000000"/>
          <w:sz w:val="22"/>
          <w:szCs w:val="22"/>
        </w:rPr>
        <w:t xml:space="preserve">A pályázathoz kapcsolódó igazolások feltöltése a </w:t>
      </w:r>
      <w:hyperlink r:id="rId13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https://mueper.bme.hu/</w:t>
        </w:r>
      </w:hyperlink>
      <w: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honlapra.</w:t>
      </w:r>
    </w:p>
    <w:p w:rsidR="00D47A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 pályázathoz kapcsolódó igazolások személyesen, határidőig történő bemutatása a pályázó szociális helyzetéről.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Bármely követelmény teljesítésének elmulasztása a pályázat érvénytelenségét vonja maga után.</w:t>
      </w:r>
    </w:p>
    <w:p w:rsidR="00D47A6B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Tartalmi követelmények és a kapcsolódó igazolások (Bemutatási időszak)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 pályázat személyes bemutatása a Kari Hallgatói Képviseletek szociális ügyekkel foglalkozó bizottságainál történik az általuk meghatározott időpontokban és helyeken. Bővebb információk elérhetőek a Kari Hallgatói Képviseletek honlapjain. A bemutatási időszak időpontja az őszi félévben legkésőbb </w:t>
      </w:r>
      <w:r>
        <w:rPr>
          <w:rFonts w:ascii="Garamond" w:eastAsia="Garamond" w:hAnsi="Garamond" w:cs="Garamond"/>
          <w:sz w:val="22"/>
          <w:szCs w:val="22"/>
        </w:rPr>
        <w:t>2023. augusztus 14-ig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a tavaszi félévben legkésőbb </w:t>
      </w:r>
      <w:r>
        <w:rPr>
          <w:rFonts w:ascii="Garamond" w:eastAsia="Garamond" w:hAnsi="Garamond" w:cs="Garamond"/>
          <w:sz w:val="22"/>
          <w:szCs w:val="22"/>
        </w:rPr>
        <w:t>2024. január 20-ig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- kerül meghatározásra. 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pályázat hiánytalanságáért a pályázó felel. A személyes </w:t>
      </w:r>
      <w:r>
        <w:rPr>
          <w:rFonts w:ascii="Garamond" w:eastAsia="Garamond" w:hAnsi="Garamond" w:cs="Garamond"/>
          <w:sz w:val="22"/>
          <w:szCs w:val="22"/>
        </w:rPr>
        <w:t>hiánypótlási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időszak lejártát követően nincs lehetőség hiánypótlásra. A felszólalás és a jogorvoslat során a pályázat hiányainak pótlása nem lehetséges.</w:t>
      </w:r>
    </w:p>
    <w:p w:rsidR="00D47A6B" w:rsidRDefault="00000000">
      <w:pPr>
        <w:spacing w:before="240" w:after="120" w:line="276" w:lineRule="auto"/>
        <w:rPr>
          <w:rFonts w:ascii="Garamond" w:eastAsia="Garamond" w:hAnsi="Garamond" w:cs="Garamond"/>
          <w:b/>
          <w:sz w:val="22"/>
          <w:szCs w:val="22"/>
        </w:rPr>
      </w:pPr>
      <w:bookmarkStart w:id="2" w:name="_heading=h.3znysh7" w:colFirst="0" w:colLast="0"/>
      <w:bookmarkEnd w:id="2"/>
      <w:r>
        <w:rPr>
          <w:rFonts w:ascii="Garamond" w:eastAsia="Garamond" w:hAnsi="Garamond" w:cs="Garamond"/>
          <w:b/>
          <w:sz w:val="22"/>
          <w:szCs w:val="22"/>
        </w:rPr>
        <w:t>A pályázaton elnyerhető ösztöndíj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 nyertes pályázók egyösszegű támogatásban részesülnek:</w:t>
      </w:r>
    </w:p>
    <w:p w:rsidR="00D47A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alap- és osztatlan képzésben: a hallgatói normatíva 50%-ával megegyező összegű ösztöndíj;</w:t>
      </w:r>
    </w:p>
    <w:p w:rsidR="00D47A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mesterképzésben: a hallgatói normatíva 75%-ával megegyező összegű ösztöndíj.</w:t>
      </w:r>
    </w:p>
    <w:p w:rsidR="00D47A6B" w:rsidRDefault="00D47A6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D47A6B" w:rsidRDefault="00D47A6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D47A6B" w:rsidRDefault="00D47A6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D47A6B" w:rsidRDefault="00D47A6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D47A6B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br/>
      </w:r>
    </w:p>
    <w:p w:rsidR="00D47A6B" w:rsidRDefault="00000000">
      <w:pPr>
        <w:keepNext/>
        <w:spacing w:before="240" w:after="12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Határidők</w:t>
      </w:r>
    </w:p>
    <w:tbl>
      <w:tblPr>
        <w:tblStyle w:val="a7"/>
        <w:tblW w:w="906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417"/>
      </w:tblGrid>
      <w:tr w:rsidR="00D47A6B">
        <w:trPr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Őszi félév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Pályázat leadási határideje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2023. augusztus 30. 23:59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a </w:t>
            </w:r>
            <w:hyperlink r:id="rId14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Elektronikus hiánypótlás határideje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2023. szeptember 11. 23:59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Személyes bemutatási időszak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2023. szeptember 1. - 2023. szeptember 12.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Előzetes eredmény közzététele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2023. szeptember 15.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a </w:t>
            </w:r>
            <w:hyperlink r:id="rId15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Felszólalás határideje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2023. szeptember 19. 23:59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a </w:t>
            </w:r>
            <w:hyperlink r:id="rId16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Végleges eredmény közzététele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2023. szeptember 22.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a </w:t>
            </w:r>
            <w:hyperlink r:id="rId17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Kifizetés időpontja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2023. október 10.</w:t>
            </w:r>
          </w:p>
        </w:tc>
      </w:tr>
    </w:tbl>
    <w:p w:rsidR="00D47A6B" w:rsidRDefault="00D47A6B">
      <w:pPr>
        <w:keepNext/>
        <w:spacing w:after="12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8"/>
        <w:tblW w:w="906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417"/>
      </w:tblGrid>
      <w:tr w:rsidR="00D47A6B">
        <w:trPr>
          <w:trHeight w:val="299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Tavaszi félév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Pályázat leadási határideje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2024. január 29. 23:59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a </w:t>
            </w:r>
            <w:hyperlink r:id="rId18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Elektronikus hiánypótlás határideje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2024. február 19. 23:59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Személyes bemutatási időszak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2024. február 8. - 2024. február 20.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Előzetes eredmény közzététele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2024. február 23. 23:59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a </w:t>
            </w:r>
            <w:hyperlink r:id="rId19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Felszólalás határideje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2024. február 27. 23:59</w:t>
            </w:r>
          </w:p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 </w:t>
            </w:r>
            <w:hyperlink r:id="rId20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Végleges eredmény közzététele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2024. március 1.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>a</w:t>
            </w:r>
            <w:r>
              <w:t xml:space="preserve"> </w:t>
            </w:r>
            <w:hyperlink r:id="rId21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/>
                </w:rPr>
                <w:t>https://mueper.bme.hu/</w:t>
              </w:r>
            </w:hyperlink>
            <w: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honlapon</w:t>
            </w:r>
          </w:p>
        </w:tc>
      </w:tr>
      <w:tr w:rsidR="00D47A6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Kifizetés időpontja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6B" w:rsidRDefault="00000000">
            <w:pPr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2024. március 8.</w:t>
            </w:r>
          </w:p>
        </w:tc>
      </w:tr>
    </w:tbl>
    <w:p w:rsidR="00D47A6B" w:rsidRDefault="00000000">
      <w:r>
        <w:t>Eredmény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Az ESZB a döntést megelőzően a Határidők részben megjelölt határidőig tájékoztató jelleggel előzetes eredményt tesz közzé a </w:t>
      </w:r>
      <w:hyperlink r:id="rId22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https://mueper.bme.hu/</w:t>
        </w:r>
      </w:hyperlink>
      <w:r>
        <w:t xml:space="preserve"> </w:t>
      </w:r>
      <w:r>
        <w:rPr>
          <w:rFonts w:ascii="Garamond" w:eastAsia="Garamond" w:hAnsi="Garamond" w:cs="Garamond"/>
          <w:sz w:val="22"/>
          <w:szCs w:val="22"/>
        </w:rPr>
        <w:t>honlapon.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 végleges eredményt az ESZB a Határidők részben megjelölt határidőig a </w:t>
      </w:r>
      <w:hyperlink r:id="rId23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https://mueper.bme.hu/</w:t>
        </w:r>
      </w:hyperlink>
      <w:r>
        <w:t xml:space="preserve"> </w:t>
      </w:r>
      <w:r>
        <w:rPr>
          <w:rFonts w:ascii="Garamond" w:eastAsia="Garamond" w:hAnsi="Garamond" w:cs="Garamond"/>
          <w:sz w:val="22"/>
          <w:szCs w:val="22"/>
        </w:rPr>
        <w:t>honlapon hozza nyilvánosságra.</w:t>
      </w:r>
    </w:p>
    <w:p w:rsidR="00D47A6B" w:rsidRDefault="00000000">
      <w:pPr>
        <w:spacing w:before="240" w:after="12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Adatvédelem</w:t>
      </w:r>
      <w:r>
        <w:rPr>
          <w:rFonts w:ascii="Garamond" w:eastAsia="Garamond" w:hAnsi="Garamond" w:cs="Garamond"/>
          <w:b/>
          <w:sz w:val="22"/>
          <w:szCs w:val="22"/>
        </w:rPr>
        <w:br/>
      </w:r>
      <w:r>
        <w:rPr>
          <w:rFonts w:ascii="Garamond" w:eastAsia="Garamond" w:hAnsi="Garamond" w:cs="Garamond"/>
          <w:color w:val="000000"/>
          <w:sz w:val="22"/>
          <w:szCs w:val="22"/>
        </w:rPr>
        <w:t>Az ESZB az ösztöndíj pályázatok elbírálásához szükséges személyes adatokat a hatályos adatvédelmi szabályoknak megfelelően kezeli a mellékelt adatkezelési tájékoztató szerint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:rsidR="00D47A6B" w:rsidRDefault="00000000">
      <w:pPr>
        <w:spacing w:before="240" w:after="12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Felszólalás, jogorvoslat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 pályázó az előzetes eredmény ellen felszólalással élhet a Határidők részben megjelölt időpontig a </w:t>
      </w:r>
      <w:hyperlink r:id="rId24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https://mueper.bme.hu/</w:t>
        </w:r>
      </w:hyperlink>
      <w:r>
        <w:t xml:space="preserve"> </w:t>
      </w:r>
      <w:r>
        <w:rPr>
          <w:rFonts w:ascii="Garamond" w:eastAsia="Garamond" w:hAnsi="Garamond" w:cs="Garamond"/>
          <w:sz w:val="22"/>
          <w:szCs w:val="22"/>
        </w:rPr>
        <w:t>honlapon.</w:t>
      </w:r>
    </w:p>
    <w:p w:rsidR="00D47A6B" w:rsidRDefault="00000000">
      <w:pPr>
        <w:spacing w:before="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hallgató a pályázat elbírálásának végleges eredménye ellen a döntés közlésétől, ennek hiányában a tudomásra jutástól számított 15 napon belül a Hallgatói Jogorvoslati Bizottságnál jogorvoslattal élhet, a Neptun rendszerben elérhető 903-as számú kérvény leadásával. Pozitív elbírálás esetén a hallgató köteles 7 munkanapon belül pótolni a Hallgatói Jogorvoslati Bizottság döntése szerinti dokumentumokat.</w:t>
      </w:r>
    </w:p>
    <w:p w:rsidR="00D47A6B" w:rsidRDefault="00000000">
      <w:pPr>
        <w:tabs>
          <w:tab w:val="center" w:pos="8010"/>
        </w:tabs>
        <w:spacing w:before="48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2023. október 31.</w:t>
      </w:r>
      <w:r>
        <w:rPr>
          <w:rFonts w:ascii="Garamond" w:eastAsia="Garamond" w:hAnsi="Garamond" w:cs="Garamond"/>
          <w:sz w:val="22"/>
          <w:szCs w:val="22"/>
        </w:rPr>
        <w:tab/>
        <w:t>Egyetemi Szociális Bizottság</w:t>
      </w:r>
    </w:p>
    <w:p w:rsidR="00D47A6B" w:rsidRDefault="00D47A6B">
      <w:pPr>
        <w:tabs>
          <w:tab w:val="right" w:pos="9070"/>
        </w:tabs>
        <w:spacing w:before="0" w:line="276" w:lineRule="auto"/>
        <w:jc w:val="right"/>
        <w:rPr>
          <w:rFonts w:ascii="Garamond" w:eastAsia="Garamond" w:hAnsi="Garamond" w:cs="Garamond"/>
          <w:sz w:val="22"/>
          <w:szCs w:val="22"/>
        </w:rPr>
      </w:pPr>
    </w:p>
    <w:sectPr w:rsidR="00D47A6B">
      <w:headerReference w:type="default" r:id="rId25"/>
      <w:footerReference w:type="default" r:id="rId26"/>
      <w:pgSz w:w="11906" w:h="16838"/>
      <w:pgMar w:top="1351" w:right="1134" w:bottom="1134" w:left="1134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597" w:rsidRDefault="000E2597">
      <w:pPr>
        <w:spacing w:before="0"/>
      </w:pPr>
      <w:r>
        <w:separator/>
      </w:r>
    </w:p>
  </w:endnote>
  <w:endnote w:type="continuationSeparator" w:id="0">
    <w:p w:rsidR="000E2597" w:rsidRDefault="000E25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A6B" w:rsidRDefault="00D47A6B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9"/>
      <w:tblW w:w="9636" w:type="dxa"/>
      <w:tblInd w:w="0" w:type="dxa"/>
      <w:tblLayout w:type="fixed"/>
      <w:tblLook w:val="0000" w:firstRow="0" w:lastRow="0" w:firstColumn="0" w:lastColumn="0" w:noHBand="0" w:noVBand="0"/>
    </w:tblPr>
    <w:tblGrid>
      <w:gridCol w:w="4678"/>
      <w:gridCol w:w="851"/>
      <w:gridCol w:w="4107"/>
    </w:tblGrid>
    <w:tr w:rsidR="00D47A6B">
      <w:trPr>
        <w:trHeight w:val="340"/>
      </w:trPr>
      <w:tc>
        <w:tcPr>
          <w:tcW w:w="4678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:rsidR="00D47A6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before="0"/>
            <w:jc w:val="right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>Budapesti Műszaki és Gazdaságtudományi Egyetem</w:t>
          </w:r>
        </w:p>
      </w:tc>
      <w:tc>
        <w:tcPr>
          <w:tcW w:w="851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:rsidR="00D47A6B" w:rsidRDefault="00D47A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before="0"/>
            <w:jc w:val="center"/>
            <w:rPr>
              <w:rFonts w:ascii="Huni_Quorum Light BT" w:eastAsia="Huni_Quorum Light BT" w:hAnsi="Huni_Quorum Light BT" w:cs="Huni_Quorum Light BT"/>
              <w:color w:val="000000"/>
              <w:sz w:val="18"/>
              <w:szCs w:val="18"/>
            </w:rPr>
          </w:pPr>
        </w:p>
      </w:tc>
      <w:tc>
        <w:tcPr>
          <w:tcW w:w="410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:rsidR="00D47A6B" w:rsidRDefault="00000000">
          <w:pPr>
            <w:tabs>
              <w:tab w:val="center" w:pos="4703"/>
              <w:tab w:val="right" w:pos="9406"/>
            </w:tabs>
            <w:spacing w:before="0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>Egyetemi Szociális Bizottság • K ép. I. em. 61.</w:t>
          </w:r>
        </w:p>
      </w:tc>
    </w:tr>
    <w:tr w:rsidR="00D47A6B">
      <w:trPr>
        <w:trHeight w:val="340"/>
      </w:trPr>
      <w:tc>
        <w:tcPr>
          <w:tcW w:w="4678" w:type="dxa"/>
          <w:shd w:val="clear" w:color="auto" w:fill="auto"/>
          <w:vAlign w:val="center"/>
        </w:tcPr>
        <w:p w:rsidR="00D47A6B" w:rsidRDefault="00000000">
          <w:pPr>
            <w:tabs>
              <w:tab w:val="center" w:pos="4703"/>
              <w:tab w:val="right" w:pos="9406"/>
            </w:tabs>
            <w:spacing w:before="0"/>
            <w:jc w:val="right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>1111 Budapest, Műegyetem rkp. 3.</w:t>
          </w:r>
        </w:p>
      </w:tc>
      <w:tc>
        <w:tcPr>
          <w:tcW w:w="851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:rsidR="00D47A6B" w:rsidRDefault="00D47A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</w:p>
      </w:tc>
      <w:tc>
        <w:tcPr>
          <w:tcW w:w="4107" w:type="dxa"/>
          <w:shd w:val="clear" w:color="auto" w:fill="auto"/>
          <w:vAlign w:val="center"/>
        </w:tcPr>
        <w:p w:rsidR="00D47A6B" w:rsidRDefault="00000000">
          <w:pPr>
            <w:tabs>
              <w:tab w:val="center" w:pos="4703"/>
              <w:tab w:val="right" w:pos="9406"/>
            </w:tabs>
            <w:spacing w:before="0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>Telefon: +36-1-463-3836</w:t>
          </w:r>
        </w:p>
      </w:tc>
    </w:tr>
    <w:tr w:rsidR="00D47A6B">
      <w:trPr>
        <w:trHeight w:val="340"/>
      </w:trPr>
      <w:tc>
        <w:tcPr>
          <w:tcW w:w="4678" w:type="dxa"/>
          <w:shd w:val="clear" w:color="auto" w:fill="auto"/>
          <w:vAlign w:val="center"/>
        </w:tcPr>
        <w:p w:rsidR="00D47A6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before="0"/>
            <w:jc w:val="right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  <w:r>
            <w:rPr>
              <w:rFonts w:ascii="Huni_Quorum Light BT" w:eastAsia="Huni_Quorum Light BT" w:hAnsi="Huni_Quorum Light BT" w:cs="Huni_Quorum Light BT"/>
              <w:color w:val="000000"/>
              <w:sz w:val="18"/>
              <w:szCs w:val="18"/>
            </w:rPr>
            <w:t>E-mail: szoc@bmeehk.hu</w:t>
          </w:r>
        </w:p>
      </w:tc>
      <w:tc>
        <w:tcPr>
          <w:tcW w:w="851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:rsidR="00D47A6B" w:rsidRDefault="00D47A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</w:p>
      </w:tc>
      <w:tc>
        <w:tcPr>
          <w:tcW w:w="4107" w:type="dxa"/>
          <w:shd w:val="clear" w:color="auto" w:fill="auto"/>
          <w:vAlign w:val="center"/>
        </w:tcPr>
        <w:p w:rsidR="00D47A6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before="0"/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>http://ehk.bme.hu/eszb</w:t>
          </w:r>
        </w:p>
      </w:tc>
    </w:tr>
  </w:tbl>
  <w:p w:rsidR="00D47A6B" w:rsidRDefault="00D47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597" w:rsidRDefault="000E2597">
      <w:pPr>
        <w:spacing w:before="0"/>
      </w:pPr>
      <w:r>
        <w:separator/>
      </w:r>
    </w:p>
  </w:footnote>
  <w:footnote w:type="continuationSeparator" w:id="0">
    <w:p w:rsidR="000E2597" w:rsidRDefault="000E25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A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ab/>
    </w:r>
    <w:r>
      <w:rPr>
        <w:b/>
        <w:noProof/>
        <w:color w:val="000000"/>
      </w:rPr>
      <w:drawing>
        <wp:inline distT="0" distB="0" distL="0" distR="0">
          <wp:extent cx="1929600" cy="518400"/>
          <wp:effectExtent l="0" t="0" r="0" b="0"/>
          <wp:docPr id="10" name="image1.png" descr="C:\Users\Nagye.SC\Documents\muegyetem_logo_kicsi5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gye.SC\Documents\muegyetem_logo_kicsi50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8D8"/>
    <w:multiLevelType w:val="multilevel"/>
    <w:tmpl w:val="9AAA06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5C720E"/>
    <w:multiLevelType w:val="multilevel"/>
    <w:tmpl w:val="8CE25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40514">
    <w:abstractNumId w:val="1"/>
  </w:num>
  <w:num w:numId="2" w16cid:durableId="57921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6B"/>
    <w:rsid w:val="000E2597"/>
    <w:rsid w:val="00D47A6B"/>
    <w:rsid w:val="00D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1C24"/>
  <w15:docId w15:val="{3DCCAD42-A2DA-4C60-8BDD-A1553BE9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A6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A6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589F"/>
    <w:pPr>
      <w:tabs>
        <w:tab w:val="center" w:pos="4703"/>
        <w:tab w:val="right" w:pos="940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2A589F"/>
  </w:style>
  <w:style w:type="paragraph" w:styleId="llb">
    <w:name w:val="footer"/>
    <w:basedOn w:val="Norml"/>
    <w:link w:val="llbChar"/>
    <w:uiPriority w:val="99"/>
    <w:unhideWhenUsed/>
    <w:rsid w:val="002A589F"/>
    <w:pPr>
      <w:tabs>
        <w:tab w:val="center" w:pos="4703"/>
        <w:tab w:val="right" w:pos="940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2A589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4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454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E72C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C1404"/>
    <w:pPr>
      <w:spacing w:before="0"/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D5639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535F2"/>
    <w:rPr>
      <w:color w:val="605E5C"/>
      <w:shd w:val="clear" w:color="auto" w:fill="E1DFDD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k.bme.hu/eszb" TargetMode="External"/><Relationship Id="rId13" Type="http://schemas.openxmlformats.org/officeDocument/2006/relationships/hyperlink" Target="https://mueper.bme.hu/" TargetMode="External"/><Relationship Id="rId18" Type="http://schemas.openxmlformats.org/officeDocument/2006/relationships/hyperlink" Target="https://mueper.bme.h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ueper.bme.h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ueper.bme.hu/" TargetMode="External"/><Relationship Id="rId17" Type="http://schemas.openxmlformats.org/officeDocument/2006/relationships/hyperlink" Target="https://mueper.bme.h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ueper.bme.hu/" TargetMode="External"/><Relationship Id="rId20" Type="http://schemas.openxmlformats.org/officeDocument/2006/relationships/hyperlink" Target="https://mueper.bme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eper.bme.hu/" TargetMode="External"/><Relationship Id="rId24" Type="http://schemas.openxmlformats.org/officeDocument/2006/relationships/hyperlink" Target="https://mueper.bme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eper.bme.hu/" TargetMode="External"/><Relationship Id="rId23" Type="http://schemas.openxmlformats.org/officeDocument/2006/relationships/hyperlink" Target="https://mueper.bme.h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hk.bme.hu/eszb" TargetMode="External"/><Relationship Id="rId19" Type="http://schemas.openxmlformats.org/officeDocument/2006/relationships/hyperlink" Target="https://mueper.bm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eper.bme.hu/" TargetMode="External"/><Relationship Id="rId14" Type="http://schemas.openxmlformats.org/officeDocument/2006/relationships/hyperlink" Target="https://mueper.bme.hu/" TargetMode="External"/><Relationship Id="rId22" Type="http://schemas.openxmlformats.org/officeDocument/2006/relationships/hyperlink" Target="https://mueper.bme.h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nWO0FNuysTtY9xCDIl2iGYSs9Q==">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Ágnes</dc:creator>
  <cp:lastModifiedBy>Antal Jázmin</cp:lastModifiedBy>
  <cp:revision>2</cp:revision>
  <dcterms:created xsi:type="dcterms:W3CDTF">2021-09-15T12:42:00Z</dcterms:created>
  <dcterms:modified xsi:type="dcterms:W3CDTF">2023-11-16T00:13:00Z</dcterms:modified>
</cp:coreProperties>
</file>