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line="276" w:lineRule="auto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Rendszeres szociális ösztöndíj</w:t>
        <w:br w:type="textWrapping"/>
        <w:t xml:space="preserve">Pályázati felhívás </w:t>
        <w:br w:type="textWrapping"/>
        <w:t xml:space="preserve">2023/2024. tanév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A Budapesti Műszaki és Gazdaságtudományi Egyetem (a továbbiakban: Egyetem) Egyetemi Szociális Bizottsága (továbbiakban: ESZB) pályázatot hirdet a BME Térítési és Juttatási Szabályzat (továbbiakban: TJSZ) 26. §-a alapján, a szociálisan rászoruló hallgatók anyagi körülményeinek javítása, jobb tanulmányi feltételeinek megteremtése érdekében.</w:t>
      </w:r>
    </w:p>
    <w:p w:rsidR="00000000" w:rsidDel="00000000" w:rsidP="00000000" w:rsidRDefault="00000000" w:rsidRPr="00000000" w14:paraId="00000003">
      <w:pPr>
        <w:spacing w:after="120" w:before="240" w:line="276" w:lineRule="auto"/>
        <w:jc w:val="both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Jogosultak köre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A pályázaton részt vehet az Egyetem bármely, aktív jogviszonnyal rendelkező, teljes idejű alap-, mester-, osztatlan vagy doktori képzésben részt vevő hallgatója, aki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államilag támogatott vagy állami ösztöndíjas képzési formában vesz részt, vagy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tanulmányait államilag támogatott vagy állami (rész)ösztöndíjas képzési formában kezdte meg és az adott szakon, szakképzésben megkezdett féléveinek száma alapján az Nftv. 47. § (3) bekezdésében meghatározott támogatási időt nem lépte túl.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Egy hallgató csak egy pályázatot adhat be, képzéseinek számától függetlenül.</w:t>
      </w:r>
    </w:p>
    <w:p w:rsidR="00000000" w:rsidDel="00000000" w:rsidP="00000000" w:rsidRDefault="00000000" w:rsidRPr="00000000" w14:paraId="00000008">
      <w:pPr>
        <w:spacing w:after="120" w:before="240" w:line="276" w:lineRule="auto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Elbírálás alapelvei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A pályázat elbírálását az ESZB végzi saját hatáskörben a TJSZ 3. számú mellékletében meghatározott pontrendszer alapján. További információk elérhetőek a </w:t>
      </w:r>
      <w:hyperlink r:id="rId7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rtl w:val="0"/>
          </w:rPr>
          <w:t xml:space="preserve">http://ehk.bme.hu/eszb</w:t>
        </w:r>
      </w:hyperlink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 és </w:t>
      </w:r>
      <w:hyperlink r:id="rId8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rtl w:val="0"/>
          </w:rPr>
          <w:t xml:space="preserve">https://mueper.bme.hu</w:t>
        </w:r>
      </w:hyperlink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 oldalakon, valamint a Kari Hallgatói Képviseletek honlapjain. A benyújtandó igazolások listája részletesen elérhető az </w:t>
      </w:r>
      <w:hyperlink r:id="rId9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rtl w:val="0"/>
          </w:rPr>
          <w:t xml:space="preserve">http://ehk.bme.hu/eszb</w:t>
        </w:r>
      </w:hyperlink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 oldal „Pályázatok” fül „Dokumentumok menüpontjában, és a </w:t>
      </w:r>
      <w:hyperlink r:id="rId10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rtl w:val="0"/>
          </w:rPr>
          <w:t xml:space="preserve">https://mueper.bme.hu/</w:t>
        </w:r>
      </w:hyperlink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 oldal „Dokumentumok” menüpontjában.</w:t>
      </w:r>
    </w:p>
    <w:p w:rsidR="00000000" w:rsidDel="00000000" w:rsidP="00000000" w:rsidRDefault="00000000" w:rsidRPr="00000000" w14:paraId="0000000A">
      <w:pPr>
        <w:spacing w:after="120" w:before="240" w:line="276" w:lineRule="auto"/>
        <w:jc w:val="both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 pályázás folyamata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A pályázati adatlap kitöltése és leadása a Műegyetemi Egységes Pályázati és Elbírálási Rendszerben (</w:t>
      </w:r>
      <w:hyperlink r:id="rId11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rtl w:val="0"/>
          </w:rPr>
          <w:t xml:space="preserve">https://mueper.bme.hu/</w:t>
        </w:r>
      </w:hyperlink>
      <w:r w:rsidDel="00000000" w:rsidR="00000000" w:rsidRPr="00000000">
        <w:rPr>
          <w:rFonts w:ascii="Garamond" w:cs="Garamond" w:eastAsia="Garamond" w:hAnsi="Garamond"/>
          <w:color w:val="0000ff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honlapon).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A pályázathoz kapcsolódó igazolások feltöltése a </w:t>
      </w:r>
      <w:hyperlink r:id="rId12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rtl w:val="0"/>
          </w:rPr>
          <w:t xml:space="preserve">https://mueper.bme.hu/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honlapra.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A pályázathoz kapcsolódó igazolások személyesen, határidőig történő bemutatása a pályázó szociális helyzetéről.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Bármely követelmény teljesítésének elmulasztása a pályázat érvénytelenségét vonja maga után.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jc w:val="both"/>
        <w:rPr>
          <w:rFonts w:ascii="Garamond" w:cs="Garamond" w:eastAsia="Garamond" w:hAnsi="Garamond"/>
          <w:b w:val="1"/>
          <w:color w:val="00000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2"/>
          <w:szCs w:val="22"/>
          <w:rtl w:val="0"/>
        </w:rPr>
        <w:t xml:space="preserve">Tartalmi követelmények és a kapcsolódó igazolások (Bemutatási időszak)</w:t>
      </w:r>
    </w:p>
    <w:p w:rsidR="00000000" w:rsidDel="00000000" w:rsidP="00000000" w:rsidRDefault="00000000" w:rsidRPr="00000000" w14:paraId="00000010">
      <w:pPr>
        <w:spacing w:before="0" w:line="276" w:lineRule="auto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 pályázat személyes bemutatása a Kari Hallgatói Képviseletek szociális ügyekkel foglalkozó bizottságainál történik az általuk meghatározott időpontokban és helyeken. Bővebb információk elérhetőek a Kari Hallgatói Képviseletek honlapjain és a MŰEPER felületén. A bemutatási időszak időpontja 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az őszi félévben legkésőbb 2023. augusztus 14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-ig 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, a tavaszi félévben legkésőbb 202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4. január 20-ig kerül meghatározásra. A pályázat hiánytalanságáért a pályázó felel. A személyes hiánypótlási időszak lejártát követően nincs lehetőség hiánypótlásra. A felszólalás és a jogorvoslat során a pályázat hiányainak pótlása nem lehetséges.</w:t>
      </w:r>
    </w:p>
    <w:p w:rsidR="00000000" w:rsidDel="00000000" w:rsidP="00000000" w:rsidRDefault="00000000" w:rsidRPr="00000000" w14:paraId="00000011">
      <w:pPr>
        <w:spacing w:after="120" w:before="240" w:line="276" w:lineRule="auto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 pályázaton elnyerhető ösztöndíj</w:t>
      </w:r>
    </w:p>
    <w:p w:rsidR="00000000" w:rsidDel="00000000" w:rsidP="00000000" w:rsidRDefault="00000000" w:rsidRPr="00000000" w14:paraId="00000012">
      <w:pPr>
        <w:spacing w:before="0" w:line="276" w:lineRule="auto"/>
        <w:ind w:firstLine="397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 pályázat elnyeréséhez szükséges minimálisan elérendő pontszámot az ESZB a pályázatok elbírálása során állapítja meg. Az elnyert ösztöndíj összegét az ESZB állapítja meg az előre meghatározott keretek és a beérkezett pályázatok figyelembevételével a pályázatok elbírálása során. </w:t>
      </w:r>
    </w:p>
    <w:p w:rsidR="00000000" w:rsidDel="00000000" w:rsidP="00000000" w:rsidRDefault="00000000" w:rsidRPr="00000000" w14:paraId="00000013">
      <w:pPr>
        <w:spacing w:before="0" w:line="276" w:lineRule="auto"/>
        <w:ind w:firstLine="397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 juttatások kifizetése 5 havi ösztöndíj formájában történik a hallgatói normatíva terhére folyósított juttatások kifizetési időpontjainak ütemezésében meghatározott időpontokban.</w:t>
      </w:r>
    </w:p>
    <w:p w:rsidR="00000000" w:rsidDel="00000000" w:rsidP="00000000" w:rsidRDefault="00000000" w:rsidRPr="00000000" w14:paraId="00000014">
      <w:pPr>
        <w:keepNext w:val="1"/>
        <w:spacing w:after="120" w:before="240" w:line="276" w:lineRule="auto"/>
        <w:jc w:val="both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Határidők</w:t>
      </w:r>
    </w:p>
    <w:tbl>
      <w:tblPr>
        <w:tblStyle w:val="Table1"/>
        <w:tblW w:w="9060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43"/>
        <w:gridCol w:w="4417"/>
        <w:tblGridChange w:id="0">
          <w:tblGrid>
            <w:gridCol w:w="4643"/>
            <w:gridCol w:w="441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Őszi félév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Pályázat leadási határideje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2023. augusztus 30. 23:59</w:t>
              <w:br w:type="textWrapping"/>
              <w:t xml:space="preserve">a </w:t>
            </w:r>
            <w:hyperlink r:id="rId13">
              <w:r w:rsidDel="00000000" w:rsidR="00000000" w:rsidRPr="00000000">
                <w:rPr>
                  <w:rFonts w:ascii="Garamond" w:cs="Garamond" w:eastAsia="Garamond" w:hAnsi="Garamond"/>
                  <w:color w:val="0000ff"/>
                  <w:sz w:val="22"/>
                  <w:szCs w:val="22"/>
                  <w:u w:val="single"/>
                  <w:rtl w:val="0"/>
                </w:rPr>
                <w:t xml:space="preserve">https://mueper.bme.hu/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2"/>
                <w:szCs w:val="22"/>
                <w:rtl w:val="0"/>
              </w:rPr>
              <w:t xml:space="preserve">honlapon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Elektronikus hiánypótlás határideje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2023. szeptember 11. 23:59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Személyes bemutatási időszak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2023. szeptember 1. - 2023. szeptember 12.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Előzetes eredmény közzététele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2023. szeptember 15.</w:t>
              <w:br w:type="textWrapping"/>
              <w:t xml:space="preserve">a </w:t>
            </w:r>
            <w:hyperlink r:id="rId14">
              <w:r w:rsidDel="00000000" w:rsidR="00000000" w:rsidRPr="00000000">
                <w:rPr>
                  <w:rFonts w:ascii="Garamond" w:cs="Garamond" w:eastAsia="Garamond" w:hAnsi="Garamond"/>
                  <w:color w:val="0000ff"/>
                  <w:sz w:val="22"/>
                  <w:szCs w:val="22"/>
                  <w:u w:val="single"/>
                  <w:rtl w:val="0"/>
                </w:rPr>
                <w:t xml:space="preserve">https://mueper.bme.hu/</w:t>
              </w:r>
            </w:hyperlink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2"/>
                <w:szCs w:val="22"/>
                <w:rtl w:val="0"/>
              </w:rPr>
              <w:t xml:space="preserve">honlapon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Felszólalás határideje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2023. szeptember 19. 23:59</w:t>
              <w:br w:type="textWrapping"/>
              <w:t xml:space="preserve">a </w:t>
            </w:r>
            <w:hyperlink r:id="rId15">
              <w:r w:rsidDel="00000000" w:rsidR="00000000" w:rsidRPr="00000000">
                <w:rPr>
                  <w:rFonts w:ascii="Garamond" w:cs="Garamond" w:eastAsia="Garamond" w:hAnsi="Garamond"/>
                  <w:color w:val="0000ff"/>
                  <w:sz w:val="22"/>
                  <w:szCs w:val="22"/>
                  <w:u w:val="single"/>
                  <w:rtl w:val="0"/>
                </w:rPr>
                <w:t xml:space="preserve">https://mueper.bme.hu/</w:t>
              </w:r>
            </w:hyperlink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2"/>
                <w:szCs w:val="22"/>
                <w:rtl w:val="0"/>
              </w:rPr>
              <w:t xml:space="preserve">honlapon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Végleges eredmény közzététele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2023. szeptember 22.</w:t>
              <w:br w:type="textWrapping"/>
              <w:t xml:space="preserve">a </w:t>
            </w:r>
            <w:hyperlink r:id="rId16">
              <w:r w:rsidDel="00000000" w:rsidR="00000000" w:rsidRPr="00000000">
                <w:rPr>
                  <w:rFonts w:ascii="Garamond" w:cs="Garamond" w:eastAsia="Garamond" w:hAnsi="Garamond"/>
                  <w:color w:val="0000ff"/>
                  <w:sz w:val="22"/>
                  <w:szCs w:val="22"/>
                  <w:u w:val="single"/>
                  <w:rtl w:val="0"/>
                </w:rPr>
                <w:t xml:space="preserve">https://mueper.bme.hu/</w:t>
              </w:r>
            </w:hyperlink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honlapon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43"/>
        <w:gridCol w:w="4417"/>
        <w:tblGridChange w:id="0">
          <w:tblGrid>
            <w:gridCol w:w="4643"/>
            <w:gridCol w:w="44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Kifizetés időpontjai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2023. október 10.</w:t>
            </w:r>
          </w:p>
          <w:p w:rsidR="00000000" w:rsidDel="00000000" w:rsidP="00000000" w:rsidRDefault="00000000" w:rsidRPr="00000000" w14:paraId="00000026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2023. november 10.</w:t>
            </w:r>
          </w:p>
          <w:p w:rsidR="00000000" w:rsidDel="00000000" w:rsidP="00000000" w:rsidRDefault="00000000" w:rsidRPr="00000000" w14:paraId="00000027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2023. december 8.</w:t>
            </w:r>
          </w:p>
          <w:p w:rsidR="00000000" w:rsidDel="00000000" w:rsidP="00000000" w:rsidRDefault="00000000" w:rsidRPr="00000000" w14:paraId="00000028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2023. január 10.</w:t>
            </w:r>
          </w:p>
        </w:tc>
      </w:tr>
    </w:tbl>
    <w:p w:rsidR="00000000" w:rsidDel="00000000" w:rsidP="00000000" w:rsidRDefault="00000000" w:rsidRPr="00000000" w14:paraId="00000029">
      <w:pPr>
        <w:spacing w:before="0" w:line="276" w:lineRule="auto"/>
        <w:jc w:val="both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43"/>
        <w:gridCol w:w="4417"/>
        <w:tblGridChange w:id="0">
          <w:tblGrid>
            <w:gridCol w:w="4643"/>
            <w:gridCol w:w="441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Tavaszi félév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Pályázat leadási határideje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2024. január 29. 23:59</w:t>
              <w:br w:type="textWrapping"/>
              <w:t xml:space="preserve">a </w:t>
            </w:r>
            <w:hyperlink r:id="rId17">
              <w:r w:rsidDel="00000000" w:rsidR="00000000" w:rsidRPr="00000000">
                <w:rPr>
                  <w:rFonts w:ascii="Garamond" w:cs="Garamond" w:eastAsia="Garamond" w:hAnsi="Garamond"/>
                  <w:color w:val="0000ff"/>
                  <w:sz w:val="22"/>
                  <w:szCs w:val="22"/>
                  <w:u w:val="single"/>
                  <w:rtl w:val="0"/>
                </w:rPr>
                <w:t xml:space="preserve">https://mueper.bme.hu/</w:t>
              </w:r>
            </w:hyperlink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2"/>
                <w:szCs w:val="22"/>
                <w:rtl w:val="0"/>
              </w:rPr>
              <w:t xml:space="preserve">honlapon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Elektronikus hiánypótlás határideje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2024. február 19. 23:59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Személyes bemutatási időszak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2024. február 8. - 2024. február 20.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Előzetes eredmény közzététele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2024. február 23.</w:t>
              <w:br w:type="textWrapping"/>
              <w:t xml:space="preserve">a </w:t>
            </w:r>
            <w:hyperlink r:id="rId18">
              <w:r w:rsidDel="00000000" w:rsidR="00000000" w:rsidRPr="00000000">
                <w:rPr>
                  <w:rFonts w:ascii="Garamond" w:cs="Garamond" w:eastAsia="Garamond" w:hAnsi="Garamond"/>
                  <w:color w:val="0000ff"/>
                  <w:sz w:val="22"/>
                  <w:szCs w:val="22"/>
                  <w:u w:val="single"/>
                  <w:rtl w:val="0"/>
                </w:rPr>
                <w:t xml:space="preserve">https://mueper.bme.hu/</w:t>
              </w:r>
            </w:hyperlink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2"/>
                <w:szCs w:val="22"/>
                <w:rtl w:val="0"/>
              </w:rPr>
              <w:t xml:space="preserve">honlapon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Felszólalás határideje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2024. február 27. 23:59</w:t>
              <w:br w:type="textWrapping"/>
              <w:t xml:space="preserve">a </w:t>
            </w:r>
            <w:hyperlink r:id="rId19">
              <w:r w:rsidDel="00000000" w:rsidR="00000000" w:rsidRPr="00000000">
                <w:rPr>
                  <w:rFonts w:ascii="Garamond" w:cs="Garamond" w:eastAsia="Garamond" w:hAnsi="Garamond"/>
                  <w:color w:val="0000ff"/>
                  <w:sz w:val="22"/>
                  <w:szCs w:val="22"/>
                  <w:u w:val="single"/>
                  <w:rtl w:val="0"/>
                </w:rPr>
                <w:t xml:space="preserve">https://mueper.bme.hu/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2"/>
                <w:szCs w:val="22"/>
                <w:rtl w:val="0"/>
              </w:rPr>
              <w:t xml:space="preserve">honlapon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Végleges eredmény közzététele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2024. március 1.</w:t>
              <w:br w:type="textWrapping"/>
              <w:t xml:space="preserve">a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Garamond" w:cs="Garamond" w:eastAsia="Garamond" w:hAnsi="Garamond"/>
                  <w:color w:val="0000ff"/>
                  <w:sz w:val="22"/>
                  <w:szCs w:val="22"/>
                  <w:u w:val="single"/>
                  <w:rtl w:val="0"/>
                </w:rPr>
                <w:t xml:space="preserve">https://mueper.bme.hu/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honlapon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43"/>
        <w:gridCol w:w="4417"/>
        <w:tblGridChange w:id="0">
          <w:tblGrid>
            <w:gridCol w:w="4643"/>
            <w:gridCol w:w="44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Kifizetés időpontjai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2024. március 8.</w:t>
            </w:r>
          </w:p>
          <w:p w:rsidR="00000000" w:rsidDel="00000000" w:rsidP="00000000" w:rsidRDefault="00000000" w:rsidRPr="00000000" w14:paraId="0000003B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2024. április 10.</w:t>
            </w:r>
          </w:p>
          <w:p w:rsidR="00000000" w:rsidDel="00000000" w:rsidP="00000000" w:rsidRDefault="00000000" w:rsidRPr="00000000" w14:paraId="0000003C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2024. május 10.</w:t>
            </w:r>
          </w:p>
          <w:p w:rsidR="00000000" w:rsidDel="00000000" w:rsidP="00000000" w:rsidRDefault="00000000" w:rsidRPr="00000000" w14:paraId="0000003D">
            <w:pPr>
              <w:spacing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2024. június 10.</w:t>
            </w:r>
          </w:p>
        </w:tc>
      </w:tr>
    </w:tbl>
    <w:p w:rsidR="00000000" w:rsidDel="00000000" w:rsidP="00000000" w:rsidRDefault="00000000" w:rsidRPr="00000000" w14:paraId="0000003E">
      <w:pPr>
        <w:spacing w:after="120" w:before="240" w:line="276" w:lineRule="auto"/>
        <w:jc w:val="both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Eredmény</w:t>
      </w:r>
    </w:p>
    <w:p w:rsidR="00000000" w:rsidDel="00000000" w:rsidP="00000000" w:rsidRDefault="00000000" w:rsidRPr="00000000" w14:paraId="0000003F">
      <w:pPr>
        <w:spacing w:before="0" w:line="276" w:lineRule="auto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Az ESZB a döntést megelőzően a Határidők részben megjelölt határidőig tájékoztató jelleggel előzetes eredményt tesz közzé a </w:t>
      </w:r>
      <w:hyperlink r:id="rId21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rtl w:val="0"/>
          </w:rPr>
          <w:t xml:space="preserve">https://mueper.bme.hu/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honlapon.</w:t>
      </w:r>
    </w:p>
    <w:p w:rsidR="00000000" w:rsidDel="00000000" w:rsidP="00000000" w:rsidRDefault="00000000" w:rsidRPr="00000000" w14:paraId="00000040">
      <w:pPr>
        <w:spacing w:before="0" w:line="276" w:lineRule="auto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 végleges eredményt az ESZB a Határidők részben megjelölt határidőig a </w:t>
      </w:r>
      <w:hyperlink r:id="rId22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rtl w:val="0"/>
          </w:rPr>
          <w:t xml:space="preserve">https://mueper.bme.hu/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honlapon hozza nyilvánosságra.</w:t>
      </w:r>
    </w:p>
    <w:p w:rsidR="00000000" w:rsidDel="00000000" w:rsidP="00000000" w:rsidRDefault="00000000" w:rsidRPr="00000000" w14:paraId="00000041">
      <w:pPr>
        <w:spacing w:after="120" w:before="240" w:line="276" w:lineRule="auto"/>
        <w:jc w:val="both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Adatvédelem</w:t>
      </w:r>
    </w:p>
    <w:p w:rsidR="00000000" w:rsidDel="00000000" w:rsidP="00000000" w:rsidRDefault="00000000" w:rsidRPr="00000000" w14:paraId="00000042">
      <w:pPr>
        <w:spacing w:before="0" w:line="276" w:lineRule="auto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rtl w:val="0"/>
        </w:rPr>
        <w:t xml:space="preserve">Az ESZB az ösztöndíj pályázatok elbírálásához szükséges személyes adatokat a hatályos adatvédelmi szabályoknak megfelelően kezeli a mellékelt adatkezelési tájékoztató szerint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spacing w:after="120" w:before="240" w:line="276" w:lineRule="auto"/>
        <w:jc w:val="both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Felszólalás, jogorvoslat</w:t>
      </w:r>
    </w:p>
    <w:p w:rsidR="00000000" w:rsidDel="00000000" w:rsidP="00000000" w:rsidRDefault="00000000" w:rsidRPr="00000000" w14:paraId="00000044">
      <w:pPr>
        <w:spacing w:before="0" w:line="276" w:lineRule="auto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 pályázó az előzetes eredmény ellen felszólalással élhet a Határidők részben megjelölt időpontig a </w:t>
      </w:r>
      <w:hyperlink r:id="rId23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rtl w:val="0"/>
          </w:rPr>
          <w:t xml:space="preserve">https://mueper.bme.hu/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honlapon.</w:t>
      </w:r>
    </w:p>
    <w:p w:rsidR="00000000" w:rsidDel="00000000" w:rsidP="00000000" w:rsidRDefault="00000000" w:rsidRPr="00000000" w14:paraId="00000045">
      <w:pPr>
        <w:spacing w:before="0" w:line="276" w:lineRule="auto"/>
        <w:jc w:val="both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 hallgató a pályázat elbírálásának végleges eredménye ellen a döntés közlésétől, ennek hiányában a tudomásra jutástól számított 15 napon belül a Hallgatói Jogorvoslati Bizottságnál jogorvoslattal élhet, a Neptun rendszerben elérhető 903-as számú kérvény leadásával.</w:t>
      </w:r>
    </w:p>
    <w:p w:rsidR="00000000" w:rsidDel="00000000" w:rsidP="00000000" w:rsidRDefault="00000000" w:rsidRPr="00000000" w14:paraId="00000046">
      <w:pPr>
        <w:tabs>
          <w:tab w:val="center" w:leader="none" w:pos="8010"/>
        </w:tabs>
        <w:spacing w:before="480" w:line="276" w:lineRule="auto"/>
        <w:jc w:val="both"/>
        <w:rPr>
          <w:rFonts w:ascii="Garamond" w:cs="Garamond" w:eastAsia="Garamond" w:hAnsi="Garamond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2023. október 31.</w:t>
        <w:tab/>
        <w:t xml:space="preserve">Egyetemi Szociális Bizottság</w:t>
      </w:r>
    </w:p>
    <w:sectPr>
      <w:headerReference r:id="rId24" w:type="default"/>
      <w:footerReference r:id="rId25" w:type="default"/>
      <w:pgSz w:h="16838" w:w="11906" w:orient="portrait"/>
      <w:pgMar w:bottom="1134" w:top="1306" w:left="1134" w:right="1134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uni_Quorum Light BT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uni_Quorum Medium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9636.0" w:type="dxa"/>
      <w:jc w:val="left"/>
      <w:tblLayout w:type="fixed"/>
      <w:tblLook w:val="0000"/>
    </w:tblPr>
    <w:tblGrid>
      <w:gridCol w:w="4678"/>
      <w:gridCol w:w="851"/>
      <w:gridCol w:w="4107"/>
      <w:tblGridChange w:id="0">
        <w:tblGrid>
          <w:gridCol w:w="4678"/>
          <w:gridCol w:w="851"/>
          <w:gridCol w:w="4107"/>
        </w:tblGrid>
      </w:tblGridChange>
    </w:tblGrid>
    <w:tr>
      <w:trPr>
        <w:cantSplit w:val="0"/>
        <w:trHeight w:val="340" w:hRule="atLeast"/>
        <w:tblHeader w:val="0"/>
      </w:trPr>
      <w:tc>
        <w:tcPr>
          <w:tcBorders>
            <w:top w:color="000000" w:space="0" w:sz="4" w:val="single"/>
          </w:tcBorders>
          <w:shd w:fill="auto" w:val="clear"/>
          <w:tcMar>
            <w:top w:w="113.0" w:type="dxa"/>
          </w:tcMar>
          <w:vAlign w:val="center"/>
        </w:tcPr>
        <w:p w:rsidR="00000000" w:rsidDel="00000000" w:rsidP="00000000" w:rsidRDefault="00000000" w:rsidRPr="00000000" w14:paraId="0000004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703"/>
              <w:tab w:val="right" w:leader="none" w:pos="9406"/>
            </w:tabs>
            <w:spacing w:before="0" w:lineRule="auto"/>
            <w:jc w:val="right"/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  <w:rtl w:val="0"/>
            </w:rPr>
            <w:t xml:space="preserve">Budapesti Műszaki és Gazdaságtudományi Egyetem</w:t>
          </w:r>
        </w:p>
      </w:tc>
      <w:tc>
        <w:tcPr>
          <w:vMerge w:val="restart"/>
          <w:tcBorders>
            <w:top w:color="000000" w:space="0" w:sz="4" w:val="single"/>
          </w:tcBorders>
          <w:shd w:fill="auto" w:val="clear"/>
          <w:tcMar>
            <w:top w:w="113.0" w:type="dxa"/>
          </w:tcMar>
          <w:vAlign w:val="center"/>
        </w:tcPr>
        <w:p w:rsidR="00000000" w:rsidDel="00000000" w:rsidP="00000000" w:rsidRDefault="00000000" w:rsidRPr="00000000" w14:paraId="0000004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703"/>
              <w:tab w:val="right" w:leader="none" w:pos="9406"/>
            </w:tabs>
            <w:spacing w:before="0" w:lineRule="auto"/>
            <w:jc w:val="center"/>
            <w:rPr>
              <w:rFonts w:ascii="Huni_Quorum Light BT" w:cs="Huni_Quorum Light BT" w:eastAsia="Huni_Quorum Light BT" w:hAnsi="Huni_Quorum Light BT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shd w:fill="auto" w:val="clear"/>
          <w:tcMar>
            <w:top w:w="113.0" w:type="dxa"/>
          </w:tcMar>
          <w:vAlign w:val="center"/>
        </w:tcPr>
        <w:p w:rsidR="00000000" w:rsidDel="00000000" w:rsidP="00000000" w:rsidRDefault="00000000" w:rsidRPr="00000000" w14:paraId="0000004B">
          <w:pPr>
            <w:tabs>
              <w:tab w:val="center" w:leader="none" w:pos="4703"/>
              <w:tab w:val="right" w:leader="none" w:pos="9406"/>
            </w:tabs>
            <w:spacing w:before="0" w:lineRule="auto"/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  <w:rtl w:val="0"/>
            </w:rPr>
            <w:t xml:space="preserve">Egyetemi Szociális Bizottság • K ép. I. em. 61.</w:t>
          </w:r>
        </w:p>
      </w:tc>
    </w:tr>
    <w:tr>
      <w:trPr>
        <w:cantSplit w:val="0"/>
        <w:trHeight w:val="34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4C">
          <w:pPr>
            <w:tabs>
              <w:tab w:val="center" w:leader="none" w:pos="4703"/>
              <w:tab w:val="right" w:leader="none" w:pos="9406"/>
            </w:tabs>
            <w:spacing w:before="0" w:lineRule="auto"/>
            <w:jc w:val="right"/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  <w:rtl w:val="0"/>
            </w:rPr>
            <w:t xml:space="preserve">1111 Budapest, Műegyetem rkp. 3.</w:t>
          </w:r>
        </w:p>
      </w:tc>
      <w:tc>
        <w:tcPr>
          <w:vMerge w:val="continue"/>
          <w:tcBorders>
            <w:top w:color="000000" w:space="0" w:sz="4" w:val="single"/>
          </w:tcBorders>
          <w:shd w:fill="auto" w:val="clear"/>
          <w:tcMar>
            <w:top w:w="113.0" w:type="dxa"/>
          </w:tcMar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4E">
          <w:pPr>
            <w:tabs>
              <w:tab w:val="center" w:leader="none" w:pos="4703"/>
              <w:tab w:val="right" w:leader="none" w:pos="9406"/>
            </w:tabs>
            <w:spacing w:before="0" w:lineRule="auto"/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  <w:rtl w:val="0"/>
            </w:rPr>
            <w:t xml:space="preserve">Telefon: +36-1-463-3836</w:t>
          </w:r>
        </w:p>
      </w:tc>
    </w:tr>
    <w:tr>
      <w:trPr>
        <w:cantSplit w:val="0"/>
        <w:trHeight w:val="34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4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703"/>
              <w:tab w:val="right" w:leader="none" w:pos="9406"/>
            </w:tabs>
            <w:spacing w:before="0" w:lineRule="auto"/>
            <w:jc w:val="right"/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Huni_Quorum Light BT" w:cs="Huni_Quorum Light BT" w:eastAsia="Huni_Quorum Light BT" w:hAnsi="Huni_Quorum Light BT"/>
              <w:color w:val="000000"/>
              <w:sz w:val="18"/>
              <w:szCs w:val="18"/>
              <w:rtl w:val="0"/>
            </w:rPr>
            <w:t xml:space="preserve">E-mail: szoc@bmeehk.hu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</w:tcBorders>
          <w:shd w:fill="auto" w:val="clear"/>
          <w:tcMar>
            <w:top w:w="113.0" w:type="dxa"/>
          </w:tcMar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703"/>
              <w:tab w:val="right" w:leader="none" w:pos="9406"/>
            </w:tabs>
            <w:spacing w:before="0" w:lineRule="auto"/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Huni_Quorum Medium BT" w:cs="Huni_Quorum Medium BT" w:eastAsia="Huni_Quorum Medium BT" w:hAnsi="Huni_Quorum Medium BT"/>
              <w:color w:val="000000"/>
              <w:sz w:val="18"/>
              <w:szCs w:val="18"/>
              <w:rtl w:val="0"/>
            </w:rPr>
            <w:t xml:space="preserve">http://ehk.bme.hu/eszb</w:t>
          </w:r>
        </w:p>
      </w:tc>
    </w:tr>
  </w:tbl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b w:val="1"/>
        <w:color w:val="000000"/>
      </w:rPr>
      <w:drawing>
        <wp:inline distB="0" distT="0" distL="0" distR="0">
          <wp:extent cx="1929600" cy="518400"/>
          <wp:effectExtent b="0" l="0" r="0" t="0"/>
          <wp:docPr descr="C:\Users\Nagye.SC\Documents\muegyetem_logo_kicsi50.tif" id="13" name="image1.png"/>
          <a:graphic>
            <a:graphicData uri="http://schemas.openxmlformats.org/drawingml/2006/picture">
              <pic:pic>
                <pic:nvPicPr>
                  <pic:cNvPr descr="C:\Users\Nagye.SC\Documents\muegyetem_logo_kicsi50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600" cy="518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jc w:val="center"/>
      <w:outlineLvl w:val="0"/>
    </w:pPr>
    <w:rPr>
      <w:b w:val="1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B0334A"/>
    <w:pPr>
      <w:spacing w:before="0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B0334A"/>
    <w:rPr>
      <w:rFonts w:ascii="Segoe UI" w:cs="Segoe UI" w:hAnsi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 w:val="1"/>
    <w:rsid w:val="001819B0"/>
    <w:pPr>
      <w:tabs>
        <w:tab w:val="center" w:pos="4703"/>
        <w:tab w:val="right" w:pos="9406"/>
      </w:tabs>
      <w:spacing w:before="0"/>
    </w:pPr>
  </w:style>
  <w:style w:type="character" w:styleId="lfejChar" w:customStyle="1">
    <w:name w:val="Élőfej Char"/>
    <w:basedOn w:val="Bekezdsalapbettpusa"/>
    <w:link w:val="lfej"/>
    <w:uiPriority w:val="99"/>
    <w:rsid w:val="001819B0"/>
  </w:style>
  <w:style w:type="paragraph" w:styleId="llb">
    <w:name w:val="footer"/>
    <w:basedOn w:val="Norml"/>
    <w:link w:val="llbChar"/>
    <w:uiPriority w:val="99"/>
    <w:unhideWhenUsed w:val="1"/>
    <w:rsid w:val="001819B0"/>
    <w:pPr>
      <w:tabs>
        <w:tab w:val="center" w:pos="4703"/>
        <w:tab w:val="right" w:pos="9406"/>
      </w:tabs>
      <w:spacing w:before="0"/>
    </w:pPr>
  </w:style>
  <w:style w:type="character" w:styleId="llbChar" w:customStyle="1">
    <w:name w:val="Élőláb Char"/>
    <w:basedOn w:val="Bekezdsalapbettpusa"/>
    <w:link w:val="llb"/>
    <w:uiPriority w:val="99"/>
    <w:rsid w:val="001819B0"/>
  </w:style>
  <w:style w:type="character" w:styleId="Hiperhivatkozs">
    <w:name w:val="Hyperlink"/>
    <w:basedOn w:val="Bekezdsalapbettpusa"/>
    <w:uiPriority w:val="99"/>
    <w:unhideWhenUsed w:val="1"/>
    <w:rsid w:val="00913E2D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053A5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053A5"/>
    <w:rPr>
      <w:b w:val="1"/>
      <w:bCs w:val="1"/>
      <w:sz w:val="20"/>
      <w:szCs w:val="20"/>
    </w:rPr>
  </w:style>
  <w:style w:type="character" w:styleId="Feloldatlanmegemlts1" w:customStyle="1">
    <w:name w:val="Feloldatlan megemlítés1"/>
    <w:basedOn w:val="Bekezdsalapbettpusa"/>
    <w:uiPriority w:val="99"/>
    <w:semiHidden w:val="1"/>
    <w:unhideWhenUsed w:val="1"/>
    <w:rsid w:val="00FC4ADE"/>
    <w:rPr>
      <w:color w:val="605e5c"/>
      <w:shd w:color="auto" w:fill="e1dfdd" w:val="clear"/>
    </w:rPr>
  </w:style>
  <w:style w:type="character" w:styleId="Mrltotthiperhivatkozs">
    <w:name w:val="FollowedHyperlink"/>
    <w:basedOn w:val="Bekezdsalapbettpusa"/>
    <w:uiPriority w:val="99"/>
    <w:semiHidden w:val="1"/>
    <w:unhideWhenUsed w:val="1"/>
    <w:rsid w:val="00FC4ADE"/>
    <w:rPr>
      <w:color w:val="800080" w:themeColor="followedHyperlink"/>
      <w:u w:val="single"/>
    </w:rPr>
  </w:style>
  <w:style w:type="paragraph" w:styleId="Vltozat">
    <w:name w:val="Revision"/>
    <w:hidden w:val="1"/>
    <w:uiPriority w:val="99"/>
    <w:semiHidden w:val="1"/>
    <w:rsid w:val="00FF2BE1"/>
    <w:pPr>
      <w:spacing w:before="0"/>
    </w:p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104A6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ueper.bme.hu/" TargetMode="External"/><Relationship Id="rId22" Type="http://schemas.openxmlformats.org/officeDocument/2006/relationships/hyperlink" Target="https://mueper.bme.hu/" TargetMode="External"/><Relationship Id="rId21" Type="http://schemas.openxmlformats.org/officeDocument/2006/relationships/hyperlink" Target="https://mueper.bme.hu/" TargetMode="External"/><Relationship Id="rId24" Type="http://schemas.openxmlformats.org/officeDocument/2006/relationships/header" Target="header1.xml"/><Relationship Id="rId23" Type="http://schemas.openxmlformats.org/officeDocument/2006/relationships/hyperlink" Target="https://mueper.bme.h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hk.bme.hu/eszb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hk.bme.hu/eszb" TargetMode="External"/><Relationship Id="rId8" Type="http://schemas.openxmlformats.org/officeDocument/2006/relationships/hyperlink" Target="https://mueper.bme.hu" TargetMode="External"/><Relationship Id="rId11" Type="http://schemas.openxmlformats.org/officeDocument/2006/relationships/hyperlink" Target="https://mueper.bme.hu/" TargetMode="External"/><Relationship Id="rId10" Type="http://schemas.openxmlformats.org/officeDocument/2006/relationships/hyperlink" Target="https://mueper.bme.hu/" TargetMode="External"/><Relationship Id="rId13" Type="http://schemas.openxmlformats.org/officeDocument/2006/relationships/hyperlink" Target="https://mueper.bme.hu/" TargetMode="External"/><Relationship Id="rId12" Type="http://schemas.openxmlformats.org/officeDocument/2006/relationships/hyperlink" Target="https://mueper.bme.hu/" TargetMode="External"/><Relationship Id="rId15" Type="http://schemas.openxmlformats.org/officeDocument/2006/relationships/hyperlink" Target="https://mueper.bme.hu/" TargetMode="External"/><Relationship Id="rId14" Type="http://schemas.openxmlformats.org/officeDocument/2006/relationships/hyperlink" Target="https://mueper.bme.hu/" TargetMode="External"/><Relationship Id="rId17" Type="http://schemas.openxmlformats.org/officeDocument/2006/relationships/hyperlink" Target="https://mueper.bme.hu/" TargetMode="External"/><Relationship Id="rId16" Type="http://schemas.openxmlformats.org/officeDocument/2006/relationships/hyperlink" Target="https://mueper.bme.hu/" TargetMode="External"/><Relationship Id="rId19" Type="http://schemas.openxmlformats.org/officeDocument/2006/relationships/hyperlink" Target="https://mueper.bme.hu/" TargetMode="External"/><Relationship Id="rId18" Type="http://schemas.openxmlformats.org/officeDocument/2006/relationships/hyperlink" Target="https://mueper.bme.h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iCZBlK/Nefe8+znlTqsGZyneBg==">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2021-09-15T12:40:00Z</dcterms:created>
  <dc:creator>Dr. Frank Ágnes</dc:creator>
</cp:coreProperties>
</file>